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B1" w:rsidRPr="009331E6" w:rsidRDefault="005464EC">
      <w:pPr>
        <w:rPr>
          <w:sz w:val="20"/>
          <w:szCs w:val="20"/>
        </w:rPr>
      </w:pPr>
      <w:r w:rsidRPr="009331E6">
        <w:rPr>
          <w:sz w:val="20"/>
          <w:szCs w:val="20"/>
        </w:rPr>
        <w:t>Curtis Chandler</w:t>
      </w:r>
    </w:p>
    <w:p w:rsidR="005464EC" w:rsidRPr="009331E6" w:rsidRDefault="005464EC">
      <w:pPr>
        <w:rPr>
          <w:sz w:val="20"/>
          <w:szCs w:val="20"/>
        </w:rPr>
      </w:pPr>
      <w:r w:rsidRPr="009331E6">
        <w:rPr>
          <w:sz w:val="20"/>
          <w:szCs w:val="20"/>
        </w:rPr>
        <w:t>MiddleWeb.com</w:t>
      </w:r>
    </w:p>
    <w:p w:rsidR="005464EC" w:rsidRPr="009331E6" w:rsidRDefault="005464EC">
      <w:pPr>
        <w:rPr>
          <w:b/>
          <w:bCs/>
          <w:sz w:val="20"/>
          <w:szCs w:val="20"/>
        </w:rPr>
      </w:pPr>
      <w:r w:rsidRPr="009331E6">
        <w:rPr>
          <w:b/>
          <w:bCs/>
          <w:sz w:val="20"/>
          <w:szCs w:val="20"/>
        </w:rPr>
        <w:t>“Other Ways for Kids to Show What They Know”</w:t>
      </w:r>
    </w:p>
    <w:p w:rsidR="005464EC" w:rsidRPr="005464EC" w:rsidRDefault="005464EC" w:rsidP="005464EC">
      <w:pPr>
        <w:rPr>
          <w:sz w:val="20"/>
          <w:szCs w:val="20"/>
        </w:rPr>
      </w:pPr>
      <w:hyperlink r:id="rId4" w:tgtFrame="wp-preview-44844" w:history="1">
        <w:r w:rsidRPr="005464EC">
          <w:rPr>
            <w:rStyle w:val="Hyperlink"/>
            <w:sz w:val="20"/>
            <w:szCs w:val="20"/>
          </w:rPr>
          <w:t>https://www.middleweb.com/44844/</w:t>
        </w:r>
      </w:hyperlink>
    </w:p>
    <w:p w:rsidR="005464EC" w:rsidRDefault="005464EC" w:rsidP="005464EC">
      <w:pPr>
        <w:pStyle w:val="NormalWeb"/>
      </w:pPr>
      <w:r>
        <w:rPr>
          <w:rStyle w:val="Strong"/>
        </w:rPr>
        <w:t>References</w:t>
      </w:r>
    </w:p>
    <w:p w:rsidR="005464EC" w:rsidRDefault="005464EC" w:rsidP="005464EC">
      <w:pPr>
        <w:pStyle w:val="NormalWeb"/>
      </w:pPr>
      <w:r>
        <w:t>Giordano, A. N., &amp; Christopher, C. R. (2020). Repurposing Best Teaching Practices for Remote Learning E</w:t>
      </w:r>
      <w:bookmarkStart w:id="0" w:name="_GoBack"/>
      <w:bookmarkEnd w:id="0"/>
      <w:r>
        <w:t xml:space="preserve">nvironments: Chemistry in the News and Oral Examinations During COVID-19. </w:t>
      </w:r>
      <w:r>
        <w:rPr>
          <w:rStyle w:val="Emphasis"/>
        </w:rPr>
        <w:t>Journal of Chemical Education</w:t>
      </w:r>
      <w:r>
        <w:t xml:space="preserve">, </w:t>
      </w:r>
      <w:r>
        <w:rPr>
          <w:rStyle w:val="Emphasis"/>
        </w:rPr>
        <w:t>97</w:t>
      </w:r>
      <w:r>
        <w:t>(9), 2815-2818.</w:t>
      </w:r>
    </w:p>
    <w:p w:rsidR="005464EC" w:rsidRDefault="005464EC" w:rsidP="005464EC">
      <w:pPr>
        <w:pStyle w:val="NormalWeb"/>
      </w:pPr>
      <w:r>
        <w:t xml:space="preserve">Kamber, D. N. (2020). Personalized Distance-Learning Experience through Virtual Oral Examinations in an Undergraduate Biochemistry Course. </w:t>
      </w:r>
      <w:r>
        <w:rPr>
          <w:rStyle w:val="Emphasis"/>
        </w:rPr>
        <w:t>Journal of Chemical Education</w:t>
      </w:r>
      <w:r>
        <w:t>.</w:t>
      </w:r>
    </w:p>
    <w:p w:rsidR="005464EC" w:rsidRDefault="005464EC" w:rsidP="005464EC">
      <w:pPr>
        <w:pStyle w:val="NormalWeb"/>
      </w:pPr>
      <w:r>
        <w:t xml:space="preserve">Nagro, S. A., Hooks, S. D., Fraser, D. W., &amp; Cornelius, K. E. (2018). Whole-Group Response Strategies to Promote Student Engagement in Inclusive Classrooms. </w:t>
      </w:r>
      <w:r>
        <w:rPr>
          <w:rStyle w:val="Emphasis"/>
        </w:rPr>
        <w:t>Teaching Exceptional Children</w:t>
      </w:r>
      <w:r>
        <w:t xml:space="preserve">, </w:t>
      </w:r>
      <w:r>
        <w:rPr>
          <w:rStyle w:val="Emphasis"/>
        </w:rPr>
        <w:t>50</w:t>
      </w:r>
      <w:r>
        <w:t xml:space="preserve">(4), 243–249. </w:t>
      </w:r>
      <w:hyperlink r:id="rId5" w:history="1">
        <w:r>
          <w:rPr>
            <w:rStyle w:val="Hyperlink"/>
          </w:rPr>
          <w:t>https://doi.org/10.1177/0040059916640749</w:t>
        </w:r>
      </w:hyperlink>
    </w:p>
    <w:p w:rsidR="005464EC" w:rsidRDefault="005464EC" w:rsidP="005464EC">
      <w:pPr>
        <w:pStyle w:val="NormalWeb"/>
      </w:pPr>
      <w:r>
        <w:t xml:space="preserve">Moses, R. N., &amp; Mohamad, M. (2019). Challenges faced by students and teachers on writing skills in ESL Contexts: A literature review. </w:t>
      </w:r>
      <w:r>
        <w:rPr>
          <w:rStyle w:val="Emphasis"/>
        </w:rPr>
        <w:t>Creative Education</w:t>
      </w:r>
      <w:r>
        <w:t xml:space="preserve">, </w:t>
      </w:r>
      <w:r>
        <w:rPr>
          <w:rStyle w:val="Emphasis"/>
        </w:rPr>
        <w:t>10</w:t>
      </w:r>
      <w:r>
        <w:t>(13), 3385-3391.</w:t>
      </w:r>
    </w:p>
    <w:p w:rsidR="005464EC" w:rsidRDefault="005464EC" w:rsidP="005464EC">
      <w:pPr>
        <w:pStyle w:val="NormalWeb"/>
      </w:pPr>
      <w:r>
        <w:t xml:space="preserve">Sayre, E. C. (2014). ORAL EXAMS as a tool for teaching and assessment. </w:t>
      </w:r>
      <w:r>
        <w:rPr>
          <w:rStyle w:val="Emphasis"/>
        </w:rPr>
        <w:t>Teaching Science: The Journal of the Australian Science Teachers Association</w:t>
      </w:r>
      <w:r>
        <w:t xml:space="preserve">, </w:t>
      </w:r>
      <w:r>
        <w:rPr>
          <w:rStyle w:val="Emphasis"/>
        </w:rPr>
        <w:t>60</w:t>
      </w:r>
      <w:r>
        <w:t>(2), 29–33.</w:t>
      </w:r>
    </w:p>
    <w:p w:rsidR="005464EC" w:rsidRDefault="005464EC" w:rsidP="005464EC">
      <w:pPr>
        <w:pStyle w:val="NormalWeb"/>
      </w:pPr>
      <w:r>
        <w:t xml:space="preserve">Studies in the Area of COVID-19 Reported from U.S. Air Force Academy (Repurposing Best Teaching Practices for Remote Learning Environments: Chemistry In the News and Oral Examinations During Covid-19). (2020, October 13). </w:t>
      </w:r>
      <w:r>
        <w:rPr>
          <w:rStyle w:val="Emphasis"/>
        </w:rPr>
        <w:t>TB &amp; Outbreaks Week</w:t>
      </w:r>
      <w:r>
        <w:t>, 1412.</w:t>
      </w:r>
    </w:p>
    <w:p w:rsidR="005464EC" w:rsidRDefault="005464EC"/>
    <w:sectPr w:rsidR="005464EC" w:rsidSect="00D9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EC"/>
    <w:rsid w:val="00237A88"/>
    <w:rsid w:val="005464EC"/>
    <w:rsid w:val="008B5F0A"/>
    <w:rsid w:val="009331E6"/>
    <w:rsid w:val="00D97B66"/>
    <w:rsid w:val="00E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965C"/>
  <w15:chartTrackingRefBased/>
  <w15:docId w15:val="{0545414B-6895-1E48-AB44-A327A763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4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464EC"/>
    <w:rPr>
      <w:b/>
      <w:bCs/>
    </w:rPr>
  </w:style>
  <w:style w:type="character" w:styleId="Emphasis">
    <w:name w:val="Emphasis"/>
    <w:basedOn w:val="DefaultParagraphFont"/>
    <w:uiPriority w:val="20"/>
    <w:qFormat/>
    <w:rsid w:val="005464EC"/>
    <w:rPr>
      <w:i/>
      <w:iCs/>
    </w:rPr>
  </w:style>
  <w:style w:type="character" w:styleId="Hyperlink">
    <w:name w:val="Hyperlink"/>
    <w:basedOn w:val="DefaultParagraphFont"/>
    <w:uiPriority w:val="99"/>
    <w:unhideWhenUsed/>
    <w:rsid w:val="005464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77/0040059916640749" TargetMode="External"/><Relationship Id="rId4" Type="http://schemas.openxmlformats.org/officeDocument/2006/relationships/hyperlink" Target="https://www.middleweb.com/?p=44844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2</cp:revision>
  <dcterms:created xsi:type="dcterms:W3CDTF">2021-03-27T22:00:00Z</dcterms:created>
  <dcterms:modified xsi:type="dcterms:W3CDTF">2021-03-27T22:05:00Z</dcterms:modified>
</cp:coreProperties>
</file>